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MS4A1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305"/>
        <w:gridCol w:w="681"/>
        <w:gridCol w:w="931"/>
        <w:gridCol w:w="188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(0.78–1.51)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(0.85–1.10)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(0.80–1.55)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(0.96–1.26)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(0.50–0.99)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7.17 (0.99–51.85)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14.24 (1.98–102.41)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(0.78–1.56)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(0.95–1.25)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7.70 (1.06–55.79)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14.34 (1.99–103.12)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(0.83–1.66)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(0.97–1.29)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 (1.01–52.90)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13.50 (1.88–97.13)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 (0.25–0.92)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2026-09-27T16:56:06Z</dcterms:modified>
  <cp:category/>
</cp:coreProperties>
</file>