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MS4A1 expression, GSE39582 (CIT, colon).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45"/>
        <w:gridCol w:w="1251"/>
        <w:gridCol w:w="921"/>
        <w:gridCol w:w="681"/>
        <w:gridCol w:w="931"/>
        <w:gridCol w:w="2431"/>
        <w:gridCol w:w="1760"/>
        <w:gridCol w:w="1760"/>
        <w:gridCol w:w="128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Endpoint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Log-rank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145.0 (91.0–NR)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80.0% (75.2–85.1)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67.1% (61.3–73.5)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183.0 (105.0–NR)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75.7% (70.7–81.1)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67.9% (62.3–74.0)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112.0 (83.0–NR)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79.0% (73.6–84.8)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64.7% (58.1–72.0)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73.8% (68.0–80.2)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65.6% (59.1–72.7)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75.7% (70.3–81.5)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69.7% (63.8–76.2)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72.8% (67.3–78.8)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70.5% (64.7–76.8)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72.2% (65.9–79.1)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66.9% (60.3–74.4)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0.499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68.5% (61.9–75.8)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65.6% (58.8–73.2)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2026-09-27T16:56:04Z</dcterms:modified>
  <cp:category/>
</cp:coreProperties>
</file>