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External validation of MS4A1 expression (High vs Low, median split of probe 228592_at within tumors) in GSE39582 (CIT, colon). HR from Cox regression; multivariable models adjusted for age (per 10 years), sex and pathologic stage; '+ MMR status' additionally adjusts for mmr status and '(MMR status known)' is the model without it on the same patients. Interaction p = likelihood-ratio test for MS4A1 group × mmr status. Time-split HRs (0–24 / &gt;24 months, adjusted) are shown only when the gene term violated proportional hazards. RMST difference = High − Low restricted mean survival time up to 60 months. Relapse-free survival excludes stage 4. Direction compared with the TCGA-COAD multivariable HR 0.55.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04"/>
        <w:gridCol w:w="1064"/>
        <w:gridCol w:w="2705"/>
        <w:gridCol w:w="621"/>
        <w:gridCol w:w="815"/>
        <w:gridCol w:w="1344"/>
        <w:gridCol w:w="805"/>
        <w:gridCol w:w="726"/>
        <w:gridCol w:w="1262"/>
        <w:gridCol w:w="1441"/>
        <w:gridCol w:w="1192"/>
        <w:gridCol w:w="1091"/>
        <w:gridCol w:w="3109"/>
        <w:gridCol w:w="928"/>
        <w:gridCol w:w="2028"/>
        <w:gridCol w:w="1840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Endpoint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Population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Stage 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PH p (gene term)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Interaction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RMST difference at 60 mo,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RMST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Direction as TCGA-COAD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Exploratory (EPV &lt; 10)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 (0.78–1.38)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-2.58 (-5.57, 0.41)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 (0.86–1.07)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1.14 (0.85–1.52)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 (0.90–1.64)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 (0.90–1.66)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0–24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2.50 (1.54–4.07)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&gt;24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 (0.46–0.99)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1.06 (0.78–1.45)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-2.64 (-6.10, 0.82)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 (0.85–1.09)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 (0.92–1.74)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0–24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2.43 (1.45–4.09)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&gt;24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 (0.53–1.24)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1.08 (0.78–1.51)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-1.37 (-5.07, 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 (0.85–1.10)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1.11 (0.80–1.55)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 (0.78–1.56)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1.17 (0.83–1.66)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0–24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 (0.95–2.08)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&gt;24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 (0.30–1.14)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1.13 (0.79–1.61)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-1.79 (-6.14, 2.56)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 (0.84–1.10)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 (0.87–1.79)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2026-09-27T16:56:03Z</dcterms:modified>
  <cp:category/>
</cp:coreProperties>
</file>