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(0.33–1.84)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2.40 (1.41–4.09)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(0.45–2.43)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2.85 (1.15–7.06)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2026-09-27T17:01:01Z</dcterms:modified>
  <cp:category/>
</cp:coreProperties>
</file>