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(1.47–4.21)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 (1.25–7.99)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2026-09-27T17:01:10Z</dcterms:modified>
  <cp:category/>
</cp:coreProperties>
</file>