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(0.24–1.62)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2.20 (1.25–3.86)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(0.42–2.28)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(1.10–6.75)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2026-09-27T17:01:19Z</dcterms:modified>
  <cp:category/>
</cp:coreProperties>
</file>