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Kaplan–Meier estimates by gene expression, TCGA-READ. NR = not reached.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41"/>
        <w:gridCol w:w="921"/>
        <w:gridCol w:w="591"/>
        <w:gridCol w:w="931"/>
        <w:gridCol w:w="2716"/>
        <w:gridCol w:w="1955"/>
        <w:gridCol w:w="1955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3-year OS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5-year OS (95% CI)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78.9% (66.8–93.1)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44.7% (21.3–94.0)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(57.2–NR)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89.5% (82.3–97.4)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56.7% (36.4–88.3)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57.2 (41.3–NR)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78.0% (66.4–91.6)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25.9% (6.0–100.0)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91.1% (83.8–99.1)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65.8% (46.2–93.6)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90.1% (82.7–98.1)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81.1% (68.4–96.1)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80.0% (69.0–92.7)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13.7% (2.4–78.8)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84.5% (74.1–96.4)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15.1% (2.7–86.0)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85.3% (76.7–95.0)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75.9% (62.2–92.6)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85.6% (75.9–96.6)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31.2% (7.3–100.0)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84.6% (75.4–94.8)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55.4% (36.1–84.9)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79.8% (68.2–93.4)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33.2% (14.3–77.1)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89.0% (81.6–97.2)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71.4% (54.5–93.5)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81.0% (69.4–94.4)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20.3% (4.2–98.6)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90.1% (83.4–97.4)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72.0% (54.9–94.3)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83.2% (73.8–93.7)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52.9% (30.1–93.1)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88.8% (79.5–99.2)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50.8% (29.4–87.9)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81.1% (70.0–94.0)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17.4% (3.3–93.0)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88.3% (80.4–97.1)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69.8% (51.7–94.2)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75.2% (63.1–89.7)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33.3% (15.0–74.1)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(51.9–NR)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93.4% (87.2–100.0)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70.3% (49.1–100.0)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2026-09-27T17:01:24Z</dcterms:modified>
  <cp:category/>
</cp:coreProperties>
</file>