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 (per 10 years), sex and pathologic stage. Sensitivity: stratified by tss. q = Benjamini–Hochberg across exploratory genes only; the primary gene (MS4A1)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(0.07–0.64)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9.11 (2.16, 16.06)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(0.29–1.69)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2.78 (-4.26, 9.82)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(0.17–0.88)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(0.23–1.41)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(0.80, 14.70)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2.54 (1.09–5.96)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1.91 (0.76–4.83)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(0.68–4.51)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(0.34–3.34)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4.50 (0.92–21.97)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-8.34 (-14.89, -1.79)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(0.29–1.45)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(0.34–2.38)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2.05 (0.65–6.42)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(0.07–1.77)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4.71 (-2.00, 11.43)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(0.32–1.63)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4.09 (-3.61, 11.80)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(0.25–1.25)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(0.24–1.58)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5.25 (-1.71, 12.21)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(0.24–1.80)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5.61 (-1.19, 12.41)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(0.38–1.92)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(0.39–2.58)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 (-6.75, 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(0.24–1.62)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 (0.16–1.34)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7.67 (0.55, 14.78)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2026-09-27T17:01:23Z</dcterms:modified>
  <cp:category/>
</cp:coreProperties>
</file>