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(0.72–2.29)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3.66 (1.91–7.01)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(1.18–3.80)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2026-10-08T19:02:39Z</dcterms:modified>
  <cp:category/>
</cp:coreProperties>
</file>