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 (0.98–2.57)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2.52 (1.31–4.82)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 (0.71–2.25)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3.50 (1.82–6.73)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 (1.10–3.55)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2026-10-08T19:02:41Z</dcterms:modified>
  <cp:category/>
</cp:coreProperties>
</file>