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(1.32–4.94)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3.85 (2.02–7.36)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(1.11–3.54)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2026-10-08T19:02:43Z</dcterms:modified>
  <cp:category/>
</cp:coreProperties>
</file>