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(0.78–2.00)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(1.29–4.81)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(0.70–2.23)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3.83 (2.00–7.33)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2.03 (1.13–3.63)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2026-10-08T19:02:45Z</dcterms:modified>
  <cp:category/>
</cp:coreProperties>
</file>