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(0.85–1.09)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2.60 (1.35–5.01)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(0.67–2.15)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3.90 (2.03–7.48)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2026-10-08T19:02:55Z</dcterms:modified>
  <cp:category/>
</cp:coreProperties>
</file>