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(0.97–2.80)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(0.71–2.24)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3.58 (1.85–6.94)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 (1.09–3.55)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2026-10-08T19:02:47Z</dcterms:modified>
  <cp:category/>
</cp:coreProperties>
</file>