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(0.66–1.16)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2.68 (1.38–5.22)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(0.66–2.13)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4.03 (2.09–7.76)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2026-10-08T19:02:53Z</dcterms:modified>
  <cp:category/>
</cp:coreProperties>
</file>