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TCGA-COAD.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1"/>
        <w:gridCol w:w="921"/>
        <w:gridCol w:w="68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 (62.7–NR)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77.4% (71.1–84.4)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67.4% (58.0–78.4)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78.4% (71.8–85.7)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62.5% (52.0–75.1)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80.1% (74.1–86.6)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68.7% (59.2–79.8)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75.6% (68.6–83.3)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59.8% (48.9–73.2)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73.4% (66.5–81.1)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61.4% (50.6–74.5)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82.6% (76.7–88.9)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67.8% (58.0–79.4)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76.8% (70.1–84.1)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64.2% (54.5–75.7)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79.4% (73.3–86.0)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65.1% (54.5–77.8)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79.7% (73.4–86.5)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68.2% (58.7–79.3)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76.4% (69.7–83.6)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61.3% (50.6–74.2)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81.2% (74.6–88.3)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71.0% (61.3–82.2)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74.7% (68.3–81.6)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57.6% (46.8–70.9)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77.7% (71.4–84.6)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63.7% (52.9–76.7)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78.3% (71.7–85.5)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65.4% (55.6–76.8)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 (49.4–NR)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73.6% (66.9–80.9)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57.1% (46.9–69.4)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(65.8–NR)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82.2% (75.9–89.0)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72.5% (62.6–84.0)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(56.2–NR)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74.3% (67.8–81.4)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58.1% (48.5–69.5)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(99.9–NR)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(74.2–88.6)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73.4% (63.3–85.1)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(67.2–NR)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84.5% (79.0–90.5)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70.4% (59.7–83.0)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81.3 (56.2–NR)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71.8% (64.8–79.4)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59.0% (49.3–70.7)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72.8% (65.9–80.5)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60.9% (50.3–73.8)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(83.2–NR)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82.7% (76.7–89.1)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68.0% (58.1–79.5)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2026-10-08T19:03:02Z</dcterms:modified>
  <cp:category/>
</cp:coreProperties>
</file>