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Overall survival by gene expression (High vs Low), TCGA-COAD. HR from Cox regression; gene HRs (univariable, multivariable, strata, time-split) are per 1 log2 unit of expression; multivariable model adjusted for age group, years, sex, pathologic stage group and pretreatment cea. Sensitivity: stratified by tss. q = Benjamini–Hochberg across exploratory genes only; the primary gene (HIST1H2AC) is reported with its unadjusted p. Time-split HRs (0–24 / &gt;24 months, adjusted) are shown only for genes whose expression term violated proportional hazards. RMST difference = High − Low restricted mean survival time up to 60 months.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51"/>
        <w:gridCol w:w="964"/>
        <w:gridCol w:w="591"/>
        <w:gridCol w:w="757"/>
        <w:gridCol w:w="2204"/>
        <w:gridCol w:w="2231"/>
        <w:gridCol w:w="994"/>
        <w:gridCol w:w="994"/>
        <w:gridCol w:w="1741"/>
        <w:gridCol w:w="1114"/>
        <w:gridCol w:w="1114"/>
        <w:gridCol w:w="1841"/>
        <w:gridCol w:w="1214"/>
        <w:gridCol w:w="1214"/>
        <w:gridCol w:w="651"/>
        <w:gridCol w:w="1141"/>
        <w:gridCol w:w="1747"/>
        <w:gridCol w:w="1121"/>
        <w:gridCol w:w="1017"/>
        <w:gridCol w:w="1564"/>
        <w:gridCol w:w="937"/>
        <w:gridCol w:w="1512"/>
        <w:gridCol w:w="886"/>
        <w:gridCol w:w="2724"/>
        <w:gridCol w:w="854"/>
        <w:gridCol w:w="1636"/>
        <w:gridCol w:w="651"/>
      </w:tblGrid>
      <w:tr>
        <w:trPr>
          <w:trHeight w:val="51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Gene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Role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Median OS Low, months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Median OS High, months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Log-rank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Log-rank q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Univariable 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Univariable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Univariable q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Multivariable 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Multivariable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Multivariable q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EPV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Stage 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Strata(TSS) 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Strata(TSS)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PH global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HR 0–24 mo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p 0–24 mo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HR &gt;24 mo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p &gt;24 mo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RMST difference at 60 mo, months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RMST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Exploratory (EPV &lt; 10)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Note</w:t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HIST1H2AC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primary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99.9 (67.2–NR)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81.3 (56.2–NR)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1.43 (1.16–1.77)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1.27 (0.93–1.74)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0.132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1.24 (0.90–1.71)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0.189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0.336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-5.29 (-9.57, -1.01)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APC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83.2 (62.7–NR)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(61.8–NR)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1.01 (0.84–1.23)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1.35 (0.96–1.88)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1.54 (1.05–2.25)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1.16 (-3.17, 5.48)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BRAF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99.9 (70.1–NR)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65.8 (49.9–NR)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1.34 (0.93–1.94)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1.58 (0.98–2.57)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1.62 (1.01–2.60)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-2.15 (-6.46, 2.17)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BRCA1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67.2 (60.7–NR)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99.9 (70.1–NR)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0.86 (0.66–1.13)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0.86 (0.60–1.23)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0.88 (0.58–1.35)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3.84 (-0.45, 8.14)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KRAS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70.1 (61.8–NR)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(92.7–NR)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0.95 (0.69–1.32)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1.25 (0.78–2.00)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1.32 (0.81–2.14)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1.29 (-3.00, 5.58)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PIK3CA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(81.3–NR)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67.2 (61.8–NR)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1.32 (0.93–1.88)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1.65 (0.97–2.80)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1.80 (1.00–3.24)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-1.18 (-5.48, 3.12)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TIMP1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(81.3–NR)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70.1 (54.6–NR)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1.38 (1.10–1.74)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1.50 (1.10–2.03)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1.56 (1.09–2.25)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-5.81 (-10.10, -1.52)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TP53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67.2 (61.8–NR)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(70.1–NR)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0.88 (0.74–1.05)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0.87 (0.68–1.12)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0.84 (0.65–1.09)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1.05 (0.76–1.44)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0.56 (0.37–0.86)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0.19 (-4.11, 4.48)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0.933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ROCK2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83.2 (49.4–NR)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99.9 (65.8–NR)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0.88 (0.71–1.10)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0.88 (0.66–1.16)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0.88 (0.63–1.23)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6.02 (1.76, 10.28)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MS4A1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67.2 (56.2–NR)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99.9 (99.9–NR)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0.95 (0.87–1.04)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0.96 (0.85–1.09)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1.03 (0.90–1.18)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5.10 (0.81, 9.38)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50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MAD2L1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439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67.2 (60.7–NR)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99.9 (83.2–NR)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0.023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0.056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0.76 (0.61–0.95)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0.018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0.089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0.83 (0.60–1.16)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0.285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0.461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0.88 (0.61–1.25)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0.471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0.297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4.27 (-0.05, 8.59)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0.053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1906" w:w="1683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2026-10-08T19:03:01Z</dcterms:modified>
  <cp:category/>
</cp:coreProperties>
</file>