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BRAF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BRAF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69.0 [58.0, 78.0]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[57.0,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(58.2%)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(58.0%)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 (53.3%)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(53.2%)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(53.4%)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(46.7%)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(46.8%)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(39.5%)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(42.9%)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(36.2%)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(29.5%)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(30.0%)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0.381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152 (69.1%)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(68.0%)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258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 (60.5%)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125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(22.4%)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325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174 (87.4%)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(81.2%)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(59.0%)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(53.5%)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(41.0%)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(46.5%)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(69.5%)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(61.3%)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(30.5%)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(38.7%)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 (59.0%)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 (64.6%)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(41.0%)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(35.4%)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291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146 (77.7%)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145 (75.5%)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318 (92.7%)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167 (94.4%)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(91.0%)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374 (86.2%)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(85.2%)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190 (87.2%)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(21.8%)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(52.8%)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2026-10-08T19:04:13Z</dcterms:modified>
  <cp:category/>
</cp:coreProperties>
</file>