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KRAS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KRAS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[57.0, 76.0]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[58.5, 78.0]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(43.8%)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(40.0%)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 (53.3%)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(54.3%)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(46.7%)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 (45.7%)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(39.5%)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(34.4%)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(44.7%)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152 (69.4%)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(67.7%)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258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(54.8%)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(26.9%)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(18.3%)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325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(85.9%)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 (82.9%)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(51.6%)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131 (60.9%)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(39.1%)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(63.8%)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(66.7%)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(36.2%)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112 (58.3%)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 (65.0%)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(41.7%)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(35.0%)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291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(78.3%)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147 (75.0%)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(21.7%)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318 (92.7%)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(92.4%)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(93.1%)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374 (86.2%)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190 (88.4%)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(84.0%)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 (30.7%)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 (40.8%)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(10.0%)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(44.5%)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(55.2%)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(55.5%)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(44.8%)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2026-10-08T19:04:23Z</dcterms:modified>
  <cp:category/>
</cp:coreProperties>
</file>