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MAD2L1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(65.9%)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(80.4%)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(93.0%)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2026-10-08T19:05:08Z</dcterms:modified>
  <cp:category/>
</cp:coreProperties>
</file>