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(52.9%)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(47.1%)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(17.1%)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 (58.8%)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 (84.0%)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 (56.4%)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(43.6%)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(65.7%)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(60.4%)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(75.9%)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329 (91.6%)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(7.2%)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389 (86.3%)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(19.8%)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(51.8%)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2026-10-08T19:03:57Z</dcterms:modified>
  <cp:category/>
</cp:coreProperties>
</file>