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HIST1H2AC High vs Low expression, TCGA-COAD (DESeq2 Wald statistic, design ~ tss + group). Hallmark: top 5 up and top 5 down by NES;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3538"/>
        <w:gridCol w:w="652"/>
        <w:gridCol w:w="702"/>
        <w:gridCol w:w="805"/>
        <w:gridCol w:w="1702"/>
        <w:gridCol w:w="5428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TSG101, BET1, RAB14, SNAP23, COPB1, RAB5A, VPS45, STX7, SEC22B, CLN5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TACC3, DNMT1, LIG1, HNRNPD, POLE, MKI67, TIMELESS, ILF3, MCM5, KIF18B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NSD2, CHAF1A, TACC3, KPNB1, HNRNPD, POLE, MKI67, INCENP, EWSR1, ILF3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MYBBP1A, TCOF1, MCM5, PPRC1, RRP12, PES1, PPAN, PUS1, NOLC1, GRWD1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WARS1, GBP4, SLC25A28, LAP3, TAP1, CXCL11, IRF1, UBE2L6, PARP14, PSMB9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WARS1, RNF213, PML, GBP4, IDO1, NLRC5, CIITA, SLC25A28, LAP3, TAP1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2026-10-08T18:53:34Z</dcterms:modified>
  <cp:category/>
</cp:coreProperties>
</file>