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Kaplan–Meier estimates by HIST1H2AC expression, GSE39582 (CIT, colon). NR = not reached.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945"/>
        <w:gridCol w:w="1251"/>
        <w:gridCol w:w="921"/>
        <w:gridCol w:w="681"/>
        <w:gridCol w:w="931"/>
        <w:gridCol w:w="2431"/>
        <w:gridCol w:w="1760"/>
        <w:gridCol w:w="1760"/>
        <w:gridCol w:w="128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Endpoint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Population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Group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Median, months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3-year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5-year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Log-rank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Overall survival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132.0 (106.0–NR)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78.9% (74.1–84.1)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70.2% (64.6–76.2)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0.461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Overall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183.0 (95.0–NR)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76.8% (71.8–82.1)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64.7% (58.9–71.2)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Overall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pMMR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106.0 (87.0–NR)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75.8% (69.9–82.3)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66.4% (59.8–73.8)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0.914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Overall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pMMR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(95.0–NR)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77.0% (71.7–82.8)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64.0% (57.7–71.1)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Relapse-free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(NR–NR)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76.9% (71.6–82.5)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71.0% (65.2–77.3)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0.358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Relapse-free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(NR–NR)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71.5% (65.9–77.7)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69.3% (63.5–75.7)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Relapse-free survival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pMMR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(NR–NR)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72.0% (65.4–79.2)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66.2% (59.2–74.0)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0.650</w:t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Relapse-free survival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pMMR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(NR–NR)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68.9% (62.6–76.0)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66.4% (59.8–73.6)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2026-10-08T18:58:58Z</dcterms:modified>
  <cp:category/>
</cp:coreProperties>
</file>