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BRAF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6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 (0.24–3.91)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3.87 (1.05–14.25)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(0.27–2.91)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1.61 (0.51–5.05)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1.59 (0.49–5.13)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2026-10-08T19:03:05Z</dcterms:modified>
  <cp:category/>
</cp:coreProperties>
</file>