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 (0.21–1.20)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3.39 (0.91–12.63)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 (0.49–4.90)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(0.55–6.11)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2026-10-08T19:03:07Z</dcterms:modified>
  <cp:category/>
</cp:coreProperties>
</file>