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(0.59–2.16)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3.57 (0.97–13.11)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(0.49–5.00)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1.64 (0.51–5.23)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2026-10-08T19:03:24Z</dcterms:modified>
  <cp:category/>
</cp:coreProperties>
</file>