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(0.35–1.21)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(0.97–13.29)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(0.28–3.19)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(0.50–4.88)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(0.56–6.26)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2026-10-08T19:03:15Z</dcterms:modified>
  <cp:category/>
</cp:coreProperties>
</file>