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MAD2L1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0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(0.35–1.59)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3.78 (1.03–13.90)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(0.26–2.86)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1.51 (0.47–4.79)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(0.51–5.44)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2026-10-08T19:03:26Z</dcterms:modified>
  <cp:category/>
</cp:coreProperties>
</file>