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(0.51–0.99)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3.94 (1.06–14.58)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 (0.16–2.28)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 (0.56–5.67)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(0.57–6.08)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2026-10-08T19:03:22Z</dcterms:modified>
  <cp:category/>
</cp:coreProperties>
</file>