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(0.44–1.59)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3.73 (1.01–13.81)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(0.27–3.01)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(0.53–5.28)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1.55 (0.49–4.97)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2026-10-08T19:03:21Z</dcterms:modified>
  <cp:category/>
</cp:coreProperties>
</file>