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 (0.92–3.40)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4.72 (1.25–17.88)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(0.39–4.07)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 (0.52–5.49)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2026-10-08T19:03:09Z</dcterms:modified>
  <cp:category/>
</cp:coreProperties>
</file>