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2.73 (1.17–6.40)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 (0.88–2.09)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 (0.18–0.92)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(0.34–1.03)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4.50 (1.68–12.03)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(0.50–4.64)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2026-10-08T19:03:30Z</dcterms:modified>
  <cp:category/>
</cp:coreProperties>
</file>