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(67.9–92.7)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16.6% (3.1–89.0)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(82.6–98.1)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72.3% (54.4–96.1)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2026-10-08T19:03:29Z</dcterms:modified>
  <cp:category/>
</cp:coreProperties>
</file>