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Overall survival by gene expression (High vs Low), TCGA-READ. HR from Cox regression; gene HRs (univariable, multivariable, strata, time-split) are per 1 log2 unit of expression; multivariable model adjusted for age group, years, sex, pathologic stage group and pretreatment cea. Sensitivity: stratified by tss. q = Benjamini–Hochberg across exploratory genes only; the primary gene (HIST1H2AC) is reported with its unadjusted p. Time-split HRs (0–24 / &gt;24 months, adjusted) are shown only for genes whose expression term violated proportional hazards. RMST difference = High − Low restricted mean survival time up to 60 months.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51"/>
        <w:gridCol w:w="964"/>
        <w:gridCol w:w="591"/>
        <w:gridCol w:w="757"/>
        <w:gridCol w:w="2204"/>
        <w:gridCol w:w="2231"/>
        <w:gridCol w:w="994"/>
        <w:gridCol w:w="994"/>
        <w:gridCol w:w="1741"/>
        <w:gridCol w:w="1114"/>
        <w:gridCol w:w="1114"/>
        <w:gridCol w:w="1841"/>
        <w:gridCol w:w="1214"/>
        <w:gridCol w:w="1214"/>
        <w:gridCol w:w="651"/>
        <w:gridCol w:w="1141"/>
        <w:gridCol w:w="1747"/>
        <w:gridCol w:w="1121"/>
        <w:gridCol w:w="1017"/>
        <w:gridCol w:w="1564"/>
        <w:gridCol w:w="937"/>
        <w:gridCol w:w="1512"/>
        <w:gridCol w:w="886"/>
        <w:gridCol w:w="2724"/>
        <w:gridCol w:w="854"/>
        <w:gridCol w:w="1636"/>
        <w:gridCol w:w="651"/>
      </w:tblGrid>
      <w:tr>
        <w:trPr>
          <w:trHeight w:val="5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Gene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Role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Median OS Low,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Median OS High,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Log-rank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Log-rank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EPV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Stage 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Strata(TSS)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Strata(TSS)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PH global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HR 0–24 mo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 0–24 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HR &gt;24 mo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 &gt;24 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RMST difference at 60 mo,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RMST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Exploratory (EPV &lt; 10)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Note</w:t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HIST1H2AC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primary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(57.2–NR)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51.4 (41.3–NR)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1.36 (0.88–2.09)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1.13 (0.59–2.16)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1.07 (0.54–2.13)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-9.23 (-16.12, -2.34)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(57.2–NR)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0.64 (0.26–1.58)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0.96 (0.24–3.91)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1.03 (0.23–4.60)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2.85 (-4.17, 9.87)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57.2 (41.3–NR)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0.36 (0.19–0.69)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0.50 (0.21–1.20)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0.57 (0.23–1.42)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7.82 (0.89, 14.75)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51.4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1.81 (1.16–2.82)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1.76 (0.92–3.40)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1.60 (0.82–3.11)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1.58 (0.76–3.30)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3.04 (0.60–15.54)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-8.42 (-14.94, -1.89)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51.4 (47.0–NR)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0.83 (0.53–1.30)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0.86 (0.48–1.53)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0.97 (0.48–1.96)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1.24 (0.54–2.84)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0.41 (0.15–1.14)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4.82 (-1.86, 11.50)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FBXW7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51.9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1.06 (0.45–2.53)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0.44 (0.14–1.37)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0.47 (0.13–1.66)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3.98 (-3.70, 11.66)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0.73 (0.43–1.24)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0.65 (0.35–1.21)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0.71 (0.32–1.55)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0.87 (0.40–1.89)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0.04 (0.00–1.11)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5.32 (-1.61, 12.26)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0.62 (0.32–1.22)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0.69 (0.27–1.76)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0.86 (0.29–2.54)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1.06 (0.34–3.35)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0.06 (0.00–1.96)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5.67 (-1.11, 12.45)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(47.0–NR)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1.22 (0.87–1.72)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1.17 (0.74–1.85)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1.17 (0.69–2.01)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0.07 (-6.84, 6.99)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51.4 (41.3–NR)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0.72 (0.45–1.14)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0.84 (0.44–1.59)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1.13 (0.47–2.68)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1.01 (0.47–2.20)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0.28 (0.04–2.00)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7.75 (0.66, 14.84)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MS4A1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51.4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0.83 (0.68–1.01)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0.71 (0.51–0.99)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0.66 (0.46–0.93)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0.59 (0.39–0.89)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1.02 (0.57–1.83)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9.16 (2.22, 16.09)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50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MAD2L1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47.0 (43.2–NR)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0.59 (0.34–1.03)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0.178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0.74 (0.35–1.59)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0.667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0.78 (0.34–1.79)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8.29 (1.38, 15.20)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2026-10-08T19:03:28Z</dcterms:modified>
  <cp:category/>
</cp:coreProperties>
</file>