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Table 1. Clinical characteristics of TCGA-READ patients by HIST1H2AC expression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4016"/>
        <w:gridCol w:w="2001"/>
        <w:gridCol w:w="2001"/>
        <w:gridCol w:w="2001"/>
        <w:gridCol w:w="1181"/>
      </w:tblGrid>
      <w:tr>
        <w:trPr>
          <w:trHeight w:val="460" w:hRule="auto"/>
          <w:tblHeader/>
        </w:trPr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  <w:tc>
          <w:tcPr>
            <w:gridSpan w:val="2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HIST1H2AC expression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</w:t>
            </w:r>
          </w:p>
        </w:tc>
      </w:tr>
      <w:tr>
        <w:trPr>
          <w:trHeight w:val="676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Overall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158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Low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High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 = 79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66.0 [57.0, 73.0]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63.0 [55.0, 70.0]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69.0 [60.0, 74.0]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Age group, years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(49.7%)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(59.0%)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≥66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(59.5%)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0.046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(55.4%)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(47.4%)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50 (63.3%)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(44.6%)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41 (52.6%)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(36.7%)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0.327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 (19.9%)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(14.3%)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(31.1%)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(32.5%)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(16.6%)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(13.5%)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 (19.5%)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0.081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(17.3%)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 (22.1%)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107 (68.6%)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51 (66.2%)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(3.9%)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(12.7%)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0.017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(27.9%)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(32.0%)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 (24.1%)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 (20.1%)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(10.7%)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(29.1%)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0.199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(84.4%)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 (88.4%)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(80.6%)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(15.6%)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(11.6%)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(19.4%)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Pathologic stage 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0.284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I–II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(52.3%)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42 (56.8%)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(48.1%)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III–IV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(47.7%)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(51.9%)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Pretreatment CEA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≤5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(59.4%)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40 (69.0%)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(47.9%)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&gt;5 ng/mL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(40.6%)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 (52.1%)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Lymphovascular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0.189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(59.7%)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45 (65.2%)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(54.3%)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(40.3%)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(34.8%)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(45.7%)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Vascular invasion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0.203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101 (74.3%)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(79.1%)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(69.6%)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Yes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35 (25.7%)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(20.9%)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(30.4%)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Residual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0.593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116 (90.6%)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(91.8%)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 (89.6%)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(1.6%)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(3.0%)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(8.2%)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(7.5%)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Histology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0.715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(91.4%)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(90.5%)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(92.2%)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Rectal Mucinous Adenocarcinoma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(8.6%)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(9.5%)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site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0.212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Rectosigmoid Junction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 (31.0%)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26 (34.2%)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(27.8%)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Rectum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(65.8%)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 (60.5%)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56 (70.9%)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Sigmoid Colon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(3.2%)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(5.3%)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(1.3%)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status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0.021</w:t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free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(42.4%)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(52.2%)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23 (32.9%)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60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With tumor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80 (57.6%)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33 (47.8%)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(67.1%)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570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Missing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1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[Q1, Q3]; n (%)</w:t>
            </w:r>
          </w:p>
        </w:tc>
      </w:tr>
      <w:tr>
        <w:trPr>
          <w:trHeight w:val="360" w:hRule="auto"/>
        </w:trPr>
        <w:tc>
          <w:tcPr>
            <w:gridSpan w:val="5"/>
            <w:tcBorders>
              <w:bottom w:val="none" w:sz="0" w:space="0" w:color="FFFFFF"/>
              <w:top w:val="none" w:sz="0" w:space="0" w:color="FFFFFF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vertAlign w:val="superscript"/>
                <w:sz w:val="18"/>
                <w:szCs w:val="18"/>
                <w:color w:val="000000"/>
              </w:rPr>
              <w:t xml:space="preserve">2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Wilcoxon rank sum test; Pearson's chi-squared test; Fisher's exact test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2026-10-08T19:05:41Z</dcterms:modified>
  <cp:category/>
</cp:coreProperties>
</file>