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TCGA-READ cohort (N = 170)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170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(49.1%)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(50.9%)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(54.4%)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(20.2%)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(31.9%)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(31.9%)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(68.5%)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86 (51.8%)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(85.0%)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(15.0%)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(52.1%)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(57.9%)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(42.1%)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(55.6%)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(44.4%)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(74.0%)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(26.0%)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(90.7%)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(92.0%)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(29.9%)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(67.1%)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(40.4%)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(59.6%)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2026-10-08T19:05:11Z</dcterms:modified>
  <cp:category/>
</cp:coreProperties>
</file>