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GSEA of HIST1H2AC High vs Low expression, TCGA-READ (DESeq2 Wald statistic, design ~ tss + group). Hallmark: top 5 up and top 5 down by NES; all padj &lt; 0.05. Positive NES = enriched in High. Robust = same direction and padj &lt; 0.05 with design ~ group.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17"/>
        <w:gridCol w:w="4136"/>
        <w:gridCol w:w="652"/>
        <w:gridCol w:w="702"/>
        <w:gridCol w:w="805"/>
        <w:gridCol w:w="1702"/>
        <w:gridCol w:w="5623"/>
      </w:tblGrid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Collection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Pathway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Robust (no covariate)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Leading edge (top 10)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HALLMARK_INTERFERON_ALPHA_RESPONSE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TXNIP, ELF1, TDRD7, IFI44, IFIT2, EPSTI1, IFIT3, IFI44L, B2M, SP110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HALLMARK_INTERFERON_GAMMA_RESPONSE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TXNIP, TDRD7, TNFSF10, IFIT1, IFI44, OAS2, PELI1, RIPK1, IFIT2, EPSTI1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HALLMARK_PANCREAS_BETA_CELLS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STXBP1, DPP4, SPCS1, SRP9, LMO2, ISL1, FOXO1, PDX1, CHGA, SCGN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HALLMARK_PROTEIN_SECRETION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VAMP4, ARFGAP3, ICA1, TSPAN8, STX12, TPD52, SEC22B, VAMP3, RAB14, RAB5A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HALLMARK_HEME_METABOLISM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ABCG2, MXI1, AQP3, ALAD, RIOK3, SNCA, ISCA1, CTSE, OPTN, YPEL5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HALLMARK_E2F_TARGETS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KIF18B, SMC1A, BRCA1, ILF3, HNRNPD, ESPL1, HMGB3, BUB1B, DNMT1, LYAR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LAS1L, BYSL, GRWD1, MCM5, PHB1, PUS1, PLK1, PES1, MYBBP1A, NOP2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HALLMARK_G2M_CHECKPOINT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SMC1A, INCENP, NSD2, CHAF1A, ILF3, HNRNPD, ESPL1, HMGB3, LIG3, POLE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HNRNPD, PPM1G, CAD, PSMD3, KPNB1, CDC45, PSMA7, TRIM28, MCM7, RUVBL2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HALLMARK_EPITHELIAL_MESENCHYMAL_TRANSITION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WNT5A, COL7A1, NID2, PRSS2, PVR, MCM7, FN1, BMP1, COL4A1, COL6A2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2026-10-08T18:58:39Z</dcterms:modified>
  <cp:category/>
</cp:coreProperties>
</file>