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1.58 (0.98–2.57)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2.52 (1.31–4.82)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1.27 (0.71–2.25)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3.50 (1.82–6.73)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1.97 (1.10–3.55)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2026-10-04T17:27:06Z</dcterms:modified>
  <cp:category/>
</cp:coreProperties>
</file>