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(0.60–1.23)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2.55 (1.32–4.94)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(0.68–2.17)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3.85 (2.02–7.36)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 (1.11–3.54)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2026-10-04T17:27:08Z</dcterms:modified>
  <cp:category/>
</cp:coreProperties>
</file>