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(0.93–1.74)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(1.35–5.05)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 (0.77–2.58)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3.59 (1.87–6.88)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2026-10-04T17:27:24Z</dcterms:modified>
  <cp:category/>
</cp:coreProperties>
</file>