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(0.78–2.00)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(1.29–4.81)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(0.70–2.23)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3.83 (2.00–7.33)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 (1.13–3.63)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2026-10-04T17:27:10Z</dcterms:modified>
  <cp:category/>
</cp:coreProperties>
</file>