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MAD2L1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20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MAD2L1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0.83 (0.60–1.16)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2.64 (1.36–5.11)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1.18 (0.65–2.11)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3.61 (1.88–6.95)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2.02 (1.13–3.61)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2026-10-04T17:27:27Z</dcterms:modified>
  <cp:category/>
</cp:coreProperties>
</file>