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(0.85–1.09)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(0.67–2.15)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3.90 (2.03–7.48)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2026-10-04T17:27:22Z</dcterms:modified>
  <cp:category/>
</cp:coreProperties>
</file>