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(0.97–2.80)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(0.71–2.24)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(1.85–6.94)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 (1.09–3.55)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2026-10-04T17:27:13Z</dcterms:modified>
  <cp:category/>
</cp:coreProperties>
</file>