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(0.66–1.16)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2.68 (1.38–5.22)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(0.66–2.13)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4.03 (2.09–7.76)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2026-10-04T17:27:20Z</dcterms:modified>
  <cp:category/>
</cp:coreProperties>
</file>