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(0.68–1.12)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(1.37–5.12)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(0.70–2.21)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3.67 (1.91–7.04)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(1.11–3.57)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2026-10-04T17:27:17Z</dcterms:modified>
  <cp:category/>
</cp:coreProperties>
</file>