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TCGA-COAD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(0.58–1.29)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(0.93–1.94)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(0.44–0.99)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(0.66–1.13)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(0.69–1.32)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(0.82–1.83)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1.32 (0.93–1.88)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1.75 (1.17–2.63)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(1.10–1.74)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(0.41–0.93)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(0.71–1.10)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(0.39–0.90)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1.62 (1.08–2.44)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1.43 (1.16–1.77)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 (0.42–0.94)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(0.61–0.95)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 (1.00–2.36)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2.95 (1.92–4.53)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2.80 (1.60–4.92)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2026-10-04T17:27:31Z</dcterms:modified>
  <cp:category/>
</cp:coreProperties>
</file>