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(79.0–90.5)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(59.7–83.0)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71.8% (64.8–79.4)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59.0% (49.3–70.7)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72.8% (65.9–80.5)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60.9% (50.3–73.8)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(83.2–NR)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82.7% (76.7–89.1)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68.0% (58.1–79.5)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2026-10-04T17:27:30Z</dcterms:modified>
  <cp:category/>
</cp:coreProperties>
</file>