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APC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70.0 [59.0,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66.5 [55.5,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 (63.5%)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(48.2%)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(41.6%)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(38.1%)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(40.9%)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(68.5%)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(59.8%)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(65.0%)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(65.2%)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 (64.8%)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(41.3%)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145 (78.0%)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146 (75.3%)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(22.0%)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 (90.8%)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 (94.7%)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(89.8%)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(82.6%)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(37.2%)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(62.6%)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(62.8%)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2026-10-04T17:25:08Z</dcterms:modified>
  <cp:category/>
</cp:coreProperties>
</file>