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MAD2L1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(93.0%)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2026-10-04T17:26:21Z</dcterms:modified>
  <cp:category/>
</cp:coreProperties>
</file>